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ALTA</w:t>
      </w:r>
      <w:r>
        <w:rPr>
          <w:spacing w:val="-5"/>
        </w:rPr>
        <w:t> </w:t>
      </w:r>
      <w:r>
        <w:rPr/>
        <w:t>36.9</w:t>
      </w:r>
      <w:r>
        <w:rPr>
          <w:spacing w:val="-4"/>
        </w:rPr>
        <w:t> </w:t>
      </w:r>
      <w:r>
        <w:rPr/>
        <w:t>ENERGY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MINERALS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SUBSURFACE</w:t>
      </w:r>
      <w:r>
        <w:rPr>
          <w:spacing w:val="-5"/>
        </w:rPr>
        <w:t> </w:t>
      </w:r>
      <w:r>
        <w:rPr/>
        <w:t>SUBSTANCES</w:t>
      </w:r>
      <w:r>
        <w:rPr>
          <w:spacing w:val="-3"/>
        </w:rPr>
        <w:t> </w:t>
      </w:r>
      <w:r>
        <w:rPr/>
        <w:t>– LAND UNDER DEVELOPMENT ENDORSEMENT</w:t>
      </w:r>
    </w:p>
    <w:p>
      <w:pPr>
        <w:pStyle w:val="BodyText"/>
        <w:spacing w:before="1"/>
        <w:rPr>
          <w:b/>
        </w:rPr>
      </w:pPr>
    </w:p>
    <w:p>
      <w:pPr>
        <w:tabs>
          <w:tab w:pos="8210" w:val="left" w:leader="none"/>
        </w:tabs>
        <w:spacing w:before="0"/>
        <w:ind w:left="2635" w:right="2947" w:firstLine="0"/>
        <w:jc w:val="center"/>
        <w:rPr>
          <w:b/>
          <w:sz w:val="20"/>
        </w:rPr>
      </w:pPr>
      <w:r>
        <w:rPr>
          <w:b/>
          <w:sz w:val="20"/>
        </w:rPr>
        <w:t>This endorsement is issued as part of Policy Number </w:t>
      </w:r>
      <w:r>
        <w:rPr>
          <w:b/>
          <w:sz w:val="20"/>
          <w:u w:val="single"/>
        </w:rPr>
        <w:tab/>
      </w:r>
      <w:r>
        <w:rPr>
          <w:b/>
          <w:sz w:val="20"/>
          <w:u w:val="none"/>
        </w:rPr>
        <w:t> issued by CATIC</w:t>
      </w:r>
    </w:p>
    <w:p>
      <w:pPr>
        <w:pStyle w:val="BodyText"/>
        <w:spacing w:before="24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351" w:hanging="360"/>
        <w:jc w:val="both"/>
        <w:rPr>
          <w:sz w:val="22"/>
        </w:rPr>
      </w:pPr>
      <w:r>
        <w:rPr>
          <w:sz w:val="22"/>
        </w:rPr>
        <w:t>The insurance provided by this endorsement is subject to the exclusion in Section 4 of this endorsement; and the Exclusions from Coverage, the Exceptions from Coverage contained in Schedule B, and the Conditions in the</w:t>
      </w:r>
      <w:r>
        <w:rPr>
          <w:spacing w:val="15"/>
          <w:sz w:val="22"/>
        </w:rPr>
        <w:t> </w:t>
      </w:r>
      <w:r>
        <w:rPr>
          <w:sz w:val="22"/>
        </w:rPr>
        <w:t>policy.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61" w:after="0"/>
        <w:ind w:left="359" w:right="0" w:hanging="359"/>
        <w:jc w:val="left"/>
        <w:rPr>
          <w:sz w:val="22"/>
        </w:rPr>
      </w:pP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purposes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endorsement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only: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  <w:tab w:pos="720" w:val="left" w:leader="none"/>
        </w:tabs>
        <w:spacing w:line="240" w:lineRule="auto" w:before="157" w:after="0"/>
        <w:ind w:left="720" w:right="356" w:hanging="361"/>
        <w:jc w:val="both"/>
        <w:rPr>
          <w:sz w:val="22"/>
        </w:rPr>
      </w:pPr>
      <w:r>
        <w:rPr>
          <w:sz w:val="22"/>
        </w:rPr>
        <w:t>“Electricity Facility” means an electricity generating facility that may include one or more of the following:</w:t>
      </w:r>
      <w:r>
        <w:rPr>
          <w:spacing w:val="40"/>
          <w:sz w:val="22"/>
        </w:rPr>
        <w:t> </w:t>
      </w:r>
      <w:r>
        <w:rPr>
          <w:sz w:val="22"/>
        </w:rPr>
        <w:t>a substation; a transmission, distribution or collector line; an interconnection, inverter,</w:t>
      </w:r>
      <w:r>
        <w:rPr>
          <w:spacing w:val="40"/>
          <w:sz w:val="22"/>
        </w:rPr>
        <w:t> </w:t>
      </w:r>
      <w:r>
        <w:rPr>
          <w:sz w:val="22"/>
        </w:rPr>
        <w:t>transformer, generator, turbine, array, solar panel, or module; a circuit breaker, footing, tower, pole, cross-arm, guy line, anchor, wire, control</w:t>
      </w:r>
      <w:r>
        <w:rPr>
          <w:spacing w:val="-11"/>
          <w:sz w:val="22"/>
        </w:rPr>
        <w:t> </w:t>
      </w:r>
      <w:r>
        <w:rPr>
          <w:sz w:val="22"/>
        </w:rPr>
        <w:t>system,</w:t>
      </w:r>
      <w:r>
        <w:rPr>
          <w:spacing w:val="-10"/>
          <w:sz w:val="22"/>
        </w:rPr>
        <w:t> </w:t>
      </w:r>
      <w:r>
        <w:rPr>
          <w:sz w:val="22"/>
        </w:rPr>
        <w:t>communications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radio</w:t>
      </w:r>
      <w:r>
        <w:rPr>
          <w:spacing w:val="-10"/>
          <w:sz w:val="22"/>
        </w:rPr>
        <w:t> </w:t>
      </w:r>
      <w:r>
        <w:rPr>
          <w:sz w:val="22"/>
        </w:rPr>
        <w:t>relay</w:t>
      </w:r>
      <w:r>
        <w:rPr>
          <w:spacing w:val="-9"/>
          <w:sz w:val="22"/>
        </w:rPr>
        <w:t> </w:t>
      </w:r>
      <w:r>
        <w:rPr>
          <w:sz w:val="22"/>
        </w:rPr>
        <w:t>system,</w:t>
      </w:r>
      <w:r>
        <w:rPr>
          <w:spacing w:val="-12"/>
          <w:sz w:val="22"/>
        </w:rPr>
        <w:t> </w:t>
      </w:r>
      <w:r>
        <w:rPr>
          <w:sz w:val="22"/>
        </w:rPr>
        <w:t>safety</w:t>
      </w:r>
      <w:r>
        <w:rPr>
          <w:spacing w:val="-10"/>
          <w:sz w:val="22"/>
        </w:rPr>
        <w:t> </w:t>
      </w:r>
      <w:r>
        <w:rPr>
          <w:sz w:val="22"/>
        </w:rPr>
        <w:t>protection</w:t>
      </w:r>
      <w:r>
        <w:rPr>
          <w:spacing w:val="-12"/>
          <w:sz w:val="22"/>
        </w:rPr>
        <w:t> </w:t>
      </w:r>
      <w:r>
        <w:rPr>
          <w:sz w:val="22"/>
        </w:rPr>
        <w:t>facility,</w:t>
      </w:r>
      <w:r>
        <w:rPr>
          <w:spacing w:val="-10"/>
          <w:sz w:val="22"/>
        </w:rPr>
        <w:t> </w:t>
      </w:r>
      <w:r>
        <w:rPr>
          <w:sz w:val="22"/>
        </w:rPr>
        <w:t>road,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other</w:t>
      </w:r>
      <w:r>
        <w:rPr>
          <w:spacing w:val="-9"/>
          <w:sz w:val="22"/>
        </w:rPr>
        <w:t> </w:t>
      </w:r>
      <w:r>
        <w:rPr>
          <w:sz w:val="22"/>
        </w:rPr>
        <w:t>building,</w:t>
      </w:r>
      <w:r>
        <w:rPr>
          <w:spacing w:val="-12"/>
          <w:sz w:val="22"/>
        </w:rPr>
        <w:t> </w:t>
      </w:r>
      <w:r>
        <w:rPr>
          <w:sz w:val="22"/>
        </w:rPr>
        <w:t>structure, fixture, machinery, equipment, appliance and item associated with or incidental to the generation, conversion, storage, switching, metering, step-up, step-down, inversion, transmission, conducting, wheeling, sale or other use or</w:t>
      </w:r>
      <w:r>
        <w:rPr>
          <w:spacing w:val="-3"/>
          <w:sz w:val="22"/>
        </w:rPr>
        <w:t> </w:t>
      </w:r>
      <w:r>
        <w:rPr>
          <w:sz w:val="22"/>
        </w:rPr>
        <w:t>conveyance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electricity,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Land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Policy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built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constructed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Land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locations according to the Plans, that by law constitutes real property.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  <w:tab w:pos="720" w:val="left" w:leader="none"/>
          <w:tab w:pos="6925" w:val="left" w:leader="none"/>
          <w:tab w:pos="8319" w:val="left" w:leader="none"/>
          <w:tab w:pos="9472" w:val="left" w:leader="none"/>
        </w:tabs>
        <w:spacing w:line="240" w:lineRule="auto" w:before="161" w:after="0"/>
        <w:ind w:left="720" w:right="354" w:hanging="361"/>
        <w:jc w:val="both"/>
        <w:rPr>
          <w:sz w:val="22"/>
        </w:rPr>
      </w:pPr>
      <w:r>
        <w:rPr>
          <w:sz w:val="22"/>
        </w:rPr>
        <w:t>“Plans” means the survey, site and elevation plans or other depictions or drawings prepared by </w:t>
      </w:r>
      <w:r>
        <w:rPr>
          <w:b/>
          <w:i/>
          <w:sz w:val="22"/>
        </w:rPr>
        <w:t>[</w:t>
      </w:r>
      <w:r>
        <w:rPr>
          <w:i/>
          <w:sz w:val="22"/>
          <w:u w:val="single"/>
        </w:rPr>
        <w:t>Drafting</w:t>
      </w:r>
      <w:r>
        <w:rPr>
          <w:i/>
          <w:sz w:val="22"/>
          <w:u w:val="none"/>
        </w:rPr>
        <w:t> </w:t>
      </w:r>
      <w:r>
        <w:rPr>
          <w:i/>
          <w:sz w:val="22"/>
          <w:u w:val="single"/>
        </w:rPr>
        <w:t>Instruction: insert name of architect or engineer</w:t>
      </w:r>
      <w:r>
        <w:rPr>
          <w:b/>
          <w:i/>
          <w:sz w:val="22"/>
          <w:u w:val="none"/>
        </w:rPr>
        <w:t>] </w:t>
      </w:r>
      <w:r>
        <w:rPr>
          <w:sz w:val="22"/>
          <w:u w:val="none"/>
        </w:rPr>
        <w:t>dated </w:t>
      </w:r>
      <w:r>
        <w:rPr>
          <w:sz w:val="22"/>
          <w:u w:val="single"/>
        </w:rPr>
        <w:tab/>
      </w:r>
      <w:r>
        <w:rPr>
          <w:sz w:val="22"/>
          <w:u w:val="none"/>
        </w:rPr>
        <w:t>, last revised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, designated </w:t>
      </w:r>
      <w:r>
        <w:rPr>
          <w:sz w:val="22"/>
          <w:u w:val="none"/>
        </w:rPr>
        <w:t>as </w:t>
      </w:r>
      <w:r>
        <w:rPr>
          <w:b/>
          <w:i/>
          <w:sz w:val="22"/>
          <w:u w:val="single"/>
        </w:rPr>
        <w:t>[</w:t>
      </w:r>
      <w:r>
        <w:rPr>
          <w:i/>
          <w:sz w:val="22"/>
          <w:u w:val="single"/>
        </w:rPr>
        <w:t>Drafting Instruction: insert name of project or project number</w:t>
      </w:r>
      <w:r>
        <w:rPr>
          <w:b/>
          <w:i/>
          <w:sz w:val="22"/>
          <w:u w:val="none"/>
        </w:rPr>
        <w:t>] </w:t>
      </w:r>
      <w:r>
        <w:rPr>
          <w:sz w:val="22"/>
          <w:u w:val="none"/>
        </w:rPr>
        <w:t>consisting of </w:t>
      </w:r>
      <w:r>
        <w:rPr>
          <w:sz w:val="22"/>
          <w:u w:val="single"/>
        </w:rPr>
        <w:tab/>
      </w:r>
      <w:r>
        <w:rPr>
          <w:spacing w:val="-2"/>
          <w:sz w:val="22"/>
          <w:u w:val="none"/>
        </w:rPr>
        <w:t>sheets.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  <w:tab w:pos="720" w:val="left" w:leader="none"/>
        </w:tabs>
        <w:spacing w:line="240" w:lineRule="auto" w:before="160" w:after="0"/>
        <w:ind w:left="720" w:right="354" w:hanging="361"/>
        <w:jc w:val="both"/>
        <w:rPr>
          <w:sz w:val="22"/>
        </w:rPr>
      </w:pPr>
      <w:r>
        <w:rPr>
          <w:sz w:val="22"/>
        </w:rPr>
        <w:t>“Severable Improvement” means property affixed to the Land at Date of Policy or to be affixed to the Land in the locations</w:t>
      </w:r>
      <w:r>
        <w:rPr>
          <w:spacing w:val="-6"/>
          <w:sz w:val="22"/>
        </w:rPr>
        <w:t> </w:t>
      </w:r>
      <w:r>
        <w:rPr>
          <w:sz w:val="22"/>
        </w:rPr>
        <w:t>according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Plans,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would</w:t>
      </w:r>
      <w:r>
        <w:rPr>
          <w:spacing w:val="-7"/>
          <w:sz w:val="22"/>
        </w:rPr>
        <w:t> </w:t>
      </w:r>
      <w:r>
        <w:rPr>
          <w:sz w:val="22"/>
        </w:rPr>
        <w:t>constitute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Electricity</w:t>
      </w:r>
      <w:r>
        <w:rPr>
          <w:spacing w:val="-5"/>
          <w:sz w:val="22"/>
        </w:rPr>
        <w:t> </w:t>
      </w:r>
      <w:r>
        <w:rPr>
          <w:sz w:val="22"/>
        </w:rPr>
        <w:t>Facility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characterization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personal property,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that by</w:t>
      </w:r>
      <w:r>
        <w:rPr>
          <w:spacing w:val="-4"/>
          <w:sz w:val="22"/>
        </w:rPr>
        <w:t> </w:t>
      </w:r>
      <w:r>
        <w:rPr>
          <w:sz w:val="22"/>
        </w:rPr>
        <w:t>law</w:t>
      </w:r>
      <w:r>
        <w:rPr>
          <w:spacing w:val="-1"/>
          <w:sz w:val="22"/>
        </w:rPr>
        <w:t> </w:t>
      </w:r>
      <w:r>
        <w:rPr>
          <w:sz w:val="22"/>
        </w:rPr>
        <w:t>does</w:t>
      </w:r>
      <w:r>
        <w:rPr>
          <w:spacing w:val="-1"/>
          <w:sz w:val="22"/>
        </w:rPr>
        <w:t> </w:t>
      </w:r>
      <w:r>
        <w:rPr>
          <w:sz w:val="22"/>
        </w:rPr>
        <w:t>not constitute</w:t>
      </w:r>
      <w:r>
        <w:rPr>
          <w:spacing w:val="-3"/>
          <w:sz w:val="22"/>
        </w:rPr>
        <w:t> </w:t>
      </w:r>
      <w:r>
        <w:rPr>
          <w:sz w:val="22"/>
        </w:rPr>
        <w:t>real property</w:t>
      </w:r>
      <w:r>
        <w:rPr>
          <w:spacing w:val="-4"/>
          <w:sz w:val="22"/>
        </w:rPr>
        <w:t> </w:t>
      </w:r>
      <w:r>
        <w:rPr>
          <w:sz w:val="22"/>
        </w:rPr>
        <w:t>because</w:t>
      </w:r>
      <w:r>
        <w:rPr>
          <w:spacing w:val="-3"/>
          <w:sz w:val="22"/>
        </w:rPr>
        <w:t> </w:t>
      </w:r>
      <w:r>
        <w:rPr>
          <w:sz w:val="22"/>
        </w:rPr>
        <w:t>(a)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character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manner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attachment</w:t>
      </w:r>
      <w:r>
        <w:rPr>
          <w:spacing w:val="-3"/>
          <w:sz w:val="22"/>
        </w:rPr>
        <w:t> </w:t>
      </w:r>
      <w:r>
        <w:rPr>
          <w:sz w:val="22"/>
        </w:rPr>
        <w:t>to the Land and</w:t>
      </w:r>
      <w:r>
        <w:rPr>
          <w:spacing w:val="-1"/>
          <w:sz w:val="22"/>
        </w:rPr>
        <w:t> </w:t>
      </w:r>
      <w:r>
        <w:rPr>
          <w:sz w:val="22"/>
        </w:rPr>
        <w:t>(b) the property can be severed</w:t>
      </w:r>
      <w:r>
        <w:rPr>
          <w:spacing w:val="-1"/>
          <w:sz w:val="22"/>
        </w:rPr>
        <w:t> </w:t>
      </w:r>
      <w:r>
        <w:rPr>
          <w:sz w:val="22"/>
        </w:rPr>
        <w:t>from the</w:t>
      </w:r>
      <w:r>
        <w:rPr>
          <w:spacing w:val="-1"/>
          <w:sz w:val="22"/>
        </w:rPr>
        <w:t> </w:t>
      </w:r>
      <w:r>
        <w:rPr>
          <w:sz w:val="22"/>
        </w:rPr>
        <w:t>Land without causing material damage to the property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to the Land.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62" w:after="0"/>
        <w:ind w:left="360" w:right="359" w:hanging="360"/>
        <w:jc w:val="both"/>
        <w:rPr>
          <w:sz w:val="22"/>
        </w:rPr>
      </w:pPr>
      <w:r>
        <w:rPr>
          <w:sz w:val="22"/>
        </w:rPr>
        <w:t>The Company insures against loss or damage sustained by the Insured by reason of the enforced removal or</w:t>
      </w:r>
      <w:r>
        <w:rPr>
          <w:spacing w:val="-2"/>
          <w:sz w:val="22"/>
        </w:rPr>
        <w:t> </w:t>
      </w:r>
      <w:r>
        <w:rPr>
          <w:sz w:val="22"/>
        </w:rPr>
        <w:t>alteration of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Electricity</w:t>
      </w:r>
      <w:r>
        <w:rPr>
          <w:spacing w:val="-5"/>
          <w:sz w:val="22"/>
        </w:rPr>
        <w:t> </w:t>
      </w:r>
      <w:r>
        <w:rPr>
          <w:sz w:val="22"/>
        </w:rPr>
        <w:t>Facility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Severable</w:t>
      </w:r>
      <w:r>
        <w:rPr>
          <w:spacing w:val="-3"/>
          <w:sz w:val="22"/>
        </w:rPr>
        <w:t> </w:t>
      </w:r>
      <w:r>
        <w:rPr>
          <w:sz w:val="22"/>
        </w:rPr>
        <w:t>Improvement,</w:t>
      </w:r>
      <w:r>
        <w:rPr>
          <w:spacing w:val="-5"/>
          <w:sz w:val="22"/>
        </w:rPr>
        <w:t> </w:t>
      </w:r>
      <w:r>
        <w:rPr>
          <w:sz w:val="22"/>
        </w:rPr>
        <w:t>resulting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future</w:t>
      </w:r>
      <w:r>
        <w:rPr>
          <w:spacing w:val="-4"/>
          <w:sz w:val="22"/>
        </w:rPr>
        <w:t> </w:t>
      </w:r>
      <w:r>
        <w:rPr>
          <w:sz w:val="22"/>
        </w:rPr>
        <w:t>exercise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right</w:t>
      </w:r>
      <w:r>
        <w:rPr>
          <w:spacing w:val="-6"/>
          <w:sz w:val="22"/>
        </w:rPr>
        <w:t> </w:t>
      </w:r>
      <w:r>
        <w:rPr>
          <w:sz w:val="22"/>
        </w:rPr>
        <w:t>existing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Date</w:t>
      </w:r>
      <w:r>
        <w:rPr>
          <w:spacing w:val="-7"/>
          <w:sz w:val="22"/>
        </w:rPr>
        <w:t> </w:t>
      </w:r>
      <w:r>
        <w:rPr>
          <w:sz w:val="22"/>
        </w:rPr>
        <w:t>of Policy to use the</w:t>
      </w:r>
      <w:r>
        <w:rPr>
          <w:spacing w:val="-1"/>
          <w:sz w:val="22"/>
        </w:rPr>
        <w:t> </w:t>
      </w:r>
      <w:r>
        <w:rPr>
          <w:sz w:val="22"/>
        </w:rPr>
        <w:t>surface of</w:t>
      </w:r>
      <w:r>
        <w:rPr>
          <w:spacing w:val="-1"/>
          <w:sz w:val="22"/>
        </w:rPr>
        <w:t> </w:t>
      </w:r>
      <w:r>
        <w:rPr>
          <w:sz w:val="22"/>
        </w:rPr>
        <w:t>the Land for the extraction</w:t>
      </w:r>
      <w:r>
        <w:rPr>
          <w:spacing w:val="-2"/>
          <w:sz w:val="22"/>
        </w:rPr>
        <w:t> </w:t>
      </w:r>
      <w:r>
        <w:rPr>
          <w:sz w:val="22"/>
        </w:rPr>
        <w:t>or development of minerals or any other subsurface substances excepted from the description of the Land or excepted in Schedule B.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59" w:after="0"/>
        <w:ind w:left="360" w:right="364" w:hanging="360"/>
        <w:jc w:val="both"/>
        <w:rPr>
          <w:sz w:val="22"/>
        </w:rPr>
      </w:pPr>
      <w:r>
        <w:rPr>
          <w:sz w:val="22"/>
        </w:rPr>
        <w:t>This endorsement does not insure against loss or damage (and the Company will not pay costs, attorneys' fees, or expenses) resulting from: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64" w:after="0"/>
        <w:ind w:left="720" w:right="0" w:hanging="360"/>
        <w:jc w:val="left"/>
        <w:rPr>
          <w:b/>
          <w:sz w:val="22"/>
        </w:rPr>
      </w:pPr>
      <w:r>
        <w:rPr>
          <w:sz w:val="22"/>
        </w:rPr>
        <w:t>contamination,</w:t>
      </w:r>
      <w:r>
        <w:rPr>
          <w:spacing w:val="-6"/>
          <w:sz w:val="22"/>
        </w:rPr>
        <w:t> </w:t>
      </w:r>
      <w:r>
        <w:rPr>
          <w:sz w:val="22"/>
        </w:rPr>
        <w:t>explosion,</w:t>
      </w:r>
      <w:r>
        <w:rPr>
          <w:spacing w:val="-8"/>
          <w:sz w:val="22"/>
        </w:rPr>
        <w:t> </w:t>
      </w:r>
      <w:r>
        <w:rPr>
          <w:sz w:val="22"/>
        </w:rPr>
        <w:t>fire,</w:t>
      </w:r>
      <w:r>
        <w:rPr>
          <w:spacing w:val="-6"/>
          <w:sz w:val="22"/>
        </w:rPr>
        <w:t> </w:t>
      </w:r>
      <w:r>
        <w:rPr>
          <w:sz w:val="22"/>
        </w:rPr>
        <w:t>flooding,</w:t>
      </w:r>
      <w:r>
        <w:rPr>
          <w:spacing w:val="-5"/>
          <w:sz w:val="22"/>
        </w:rPr>
        <w:t> </w:t>
      </w:r>
      <w:r>
        <w:rPr>
          <w:sz w:val="22"/>
        </w:rPr>
        <w:t>vibration,</w:t>
      </w:r>
      <w:r>
        <w:rPr>
          <w:spacing w:val="-7"/>
          <w:sz w:val="22"/>
        </w:rPr>
        <w:t> </w:t>
      </w:r>
      <w:r>
        <w:rPr>
          <w:sz w:val="22"/>
        </w:rPr>
        <w:t>fracturing,</w:t>
      </w:r>
      <w:r>
        <w:rPr>
          <w:spacing w:val="-5"/>
          <w:sz w:val="22"/>
        </w:rPr>
        <w:t> </w:t>
      </w:r>
      <w:r>
        <w:rPr>
          <w:sz w:val="22"/>
        </w:rPr>
        <w:t>earthquake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subsidence;</w:t>
      </w:r>
      <w:r>
        <w:rPr>
          <w:spacing w:val="-4"/>
          <w:sz w:val="22"/>
        </w:rPr>
        <w:t> </w:t>
      </w:r>
      <w:r>
        <w:rPr>
          <w:b/>
          <w:spacing w:val="-4"/>
          <w:sz w:val="22"/>
        </w:rPr>
        <w:t>[</w:t>
      </w:r>
      <w:r>
        <w:rPr>
          <w:spacing w:val="-4"/>
          <w:sz w:val="22"/>
        </w:rPr>
        <w:t>or</w:t>
      </w:r>
      <w:r>
        <w:rPr>
          <w:b/>
          <w:spacing w:val="-4"/>
          <w:sz w:val="22"/>
        </w:rPr>
        <w:t>]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  <w:tab w:pos="720" w:val="left" w:leader="none"/>
        </w:tabs>
        <w:spacing w:line="240" w:lineRule="auto" w:before="157" w:after="0"/>
        <w:ind w:left="720" w:right="354" w:hanging="361"/>
        <w:jc w:val="both"/>
        <w:rPr>
          <w:sz w:val="22"/>
        </w:rPr>
      </w:pPr>
      <w:r>
        <w:rPr>
          <w:sz w:val="22"/>
        </w:rPr>
        <w:t>negligence</w:t>
      </w:r>
      <w:r>
        <w:rPr>
          <w:spacing w:val="-11"/>
          <w:sz w:val="22"/>
        </w:rPr>
        <w:t> </w:t>
      </w:r>
      <w:r>
        <w:rPr>
          <w:sz w:val="22"/>
        </w:rPr>
        <w:t>by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person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an</w:t>
      </w:r>
      <w:r>
        <w:rPr>
          <w:spacing w:val="-12"/>
          <w:sz w:val="22"/>
        </w:rPr>
        <w:t> </w:t>
      </w:r>
      <w:r>
        <w:rPr>
          <w:sz w:val="22"/>
        </w:rPr>
        <w:t>Entity</w:t>
      </w:r>
      <w:r>
        <w:rPr>
          <w:spacing w:val="-12"/>
          <w:sz w:val="22"/>
        </w:rPr>
        <w:t> </w:t>
      </w:r>
      <w:r>
        <w:rPr>
          <w:sz w:val="22"/>
        </w:rPr>
        <w:t>exercising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right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extract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develop</w:t>
      </w:r>
      <w:r>
        <w:rPr>
          <w:spacing w:val="-13"/>
          <w:sz w:val="22"/>
        </w:rPr>
        <w:t> </w:t>
      </w:r>
      <w:r>
        <w:rPr>
          <w:sz w:val="22"/>
        </w:rPr>
        <w:t>minerals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other</w:t>
      </w:r>
      <w:r>
        <w:rPr>
          <w:spacing w:val="-11"/>
          <w:sz w:val="22"/>
        </w:rPr>
        <w:t> </w:t>
      </w:r>
      <w:r>
        <w:rPr>
          <w:sz w:val="22"/>
        </w:rPr>
        <w:t>subsurface</w:t>
      </w:r>
      <w:r>
        <w:rPr>
          <w:spacing w:val="-12"/>
          <w:sz w:val="22"/>
        </w:rPr>
        <w:t> </w:t>
      </w:r>
      <w:r>
        <w:rPr>
          <w:sz w:val="22"/>
        </w:rPr>
        <w:t>substances</w:t>
      </w:r>
      <w:r>
        <w:rPr>
          <w:b/>
          <w:sz w:val="22"/>
        </w:rPr>
        <w:t>[</w:t>
      </w:r>
      <w:r>
        <w:rPr>
          <w:sz w:val="22"/>
        </w:rPr>
        <w:t>; </w:t>
      </w:r>
      <w:r>
        <w:rPr>
          <w:spacing w:val="-6"/>
          <w:sz w:val="22"/>
        </w:rPr>
        <w:t>or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  <w:tab w:pos="720" w:val="left" w:leader="none"/>
          <w:tab w:pos="5552" w:val="left" w:leader="none"/>
        </w:tabs>
        <w:spacing w:line="244" w:lineRule="auto" w:before="159" w:after="0"/>
        <w:ind w:left="720" w:right="352" w:hanging="361"/>
        <w:jc w:val="both"/>
        <w:rPr>
          <w:b/>
          <w:i/>
          <w:sz w:val="22"/>
        </w:rPr>
      </w:pPr>
      <w:r>
        <w:rPr>
          <w:sz w:val="22"/>
        </w:rPr>
        <w:t>the exercise of the rights described in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]</w:t>
      </w:r>
      <w:r>
        <w:rPr>
          <w:sz w:val="22"/>
          <w:u w:val="none"/>
        </w:rPr>
        <w:t>.</w:t>
      </w:r>
      <w:r>
        <w:rPr>
          <w:spacing w:val="40"/>
          <w:sz w:val="22"/>
          <w:u w:val="none"/>
        </w:rPr>
        <w:t> </w:t>
      </w:r>
      <w:r>
        <w:rPr>
          <w:b/>
          <w:i/>
          <w:sz w:val="22"/>
          <w:u w:val="none"/>
        </w:rPr>
        <w:t>[</w:t>
      </w:r>
      <w:r>
        <w:rPr>
          <w:i/>
          <w:sz w:val="22"/>
          <w:u w:val="none"/>
        </w:rPr>
        <w:t>Drafting</w:t>
      </w:r>
      <w:r>
        <w:rPr>
          <w:i/>
          <w:spacing w:val="-10"/>
          <w:sz w:val="22"/>
          <w:u w:val="none"/>
        </w:rPr>
        <w:t> </w:t>
      </w:r>
      <w:r>
        <w:rPr>
          <w:i/>
          <w:sz w:val="22"/>
          <w:u w:val="none"/>
        </w:rPr>
        <w:t>Instruction:</w:t>
      </w:r>
      <w:r>
        <w:rPr>
          <w:i/>
          <w:spacing w:val="34"/>
          <w:sz w:val="22"/>
          <w:u w:val="none"/>
        </w:rPr>
        <w:t> </w:t>
      </w:r>
      <w:r>
        <w:rPr>
          <w:i/>
          <w:sz w:val="22"/>
          <w:u w:val="none"/>
        </w:rPr>
        <w:t>identify</w:t>
      </w:r>
      <w:r>
        <w:rPr>
          <w:i/>
          <w:spacing w:val="-13"/>
          <w:sz w:val="22"/>
          <w:u w:val="none"/>
        </w:rPr>
        <w:t> </w:t>
      </w:r>
      <w:r>
        <w:rPr>
          <w:i/>
          <w:sz w:val="22"/>
          <w:u w:val="none"/>
        </w:rPr>
        <w:t>the</w:t>
      </w:r>
      <w:r>
        <w:rPr>
          <w:i/>
          <w:spacing w:val="-13"/>
          <w:sz w:val="22"/>
          <w:u w:val="none"/>
        </w:rPr>
        <w:t> </w:t>
      </w:r>
      <w:r>
        <w:rPr>
          <w:i/>
          <w:sz w:val="22"/>
          <w:u w:val="none"/>
        </w:rPr>
        <w:t>interest</w:t>
      </w:r>
      <w:r>
        <w:rPr>
          <w:i/>
          <w:spacing w:val="-10"/>
          <w:sz w:val="22"/>
          <w:u w:val="none"/>
        </w:rPr>
        <w:t> </w:t>
      </w:r>
      <w:r>
        <w:rPr>
          <w:i/>
          <w:sz w:val="22"/>
          <w:u w:val="none"/>
        </w:rPr>
        <w:t>excepted</w:t>
      </w:r>
      <w:r>
        <w:rPr>
          <w:i/>
          <w:spacing w:val="-13"/>
          <w:sz w:val="22"/>
          <w:u w:val="none"/>
        </w:rPr>
        <w:t> </w:t>
      </w:r>
      <w:r>
        <w:rPr>
          <w:i/>
          <w:sz w:val="22"/>
          <w:u w:val="none"/>
        </w:rPr>
        <w:t>from</w:t>
      </w:r>
      <w:r>
        <w:rPr>
          <w:i/>
          <w:sz w:val="22"/>
          <w:u w:val="none"/>
        </w:rPr>
        <w:t> the</w:t>
      </w:r>
      <w:r>
        <w:rPr>
          <w:i/>
          <w:spacing w:val="-7"/>
          <w:sz w:val="22"/>
          <w:u w:val="none"/>
        </w:rPr>
        <w:t> </w:t>
      </w:r>
      <w:r>
        <w:rPr>
          <w:i/>
          <w:sz w:val="22"/>
          <w:u w:val="none"/>
        </w:rPr>
        <w:t>description</w:t>
      </w:r>
      <w:r>
        <w:rPr>
          <w:i/>
          <w:spacing w:val="-5"/>
          <w:sz w:val="22"/>
          <w:u w:val="none"/>
        </w:rPr>
        <w:t> </w:t>
      </w:r>
      <w:r>
        <w:rPr>
          <w:i/>
          <w:sz w:val="22"/>
          <w:u w:val="none"/>
        </w:rPr>
        <w:t>of</w:t>
      </w:r>
      <w:r>
        <w:rPr>
          <w:i/>
          <w:spacing w:val="-4"/>
          <w:sz w:val="22"/>
          <w:u w:val="none"/>
        </w:rPr>
        <w:t> </w:t>
      </w:r>
      <w:r>
        <w:rPr>
          <w:i/>
          <w:sz w:val="22"/>
          <w:u w:val="none"/>
        </w:rPr>
        <w:t>the</w:t>
      </w:r>
      <w:r>
        <w:rPr>
          <w:i/>
          <w:spacing w:val="-4"/>
          <w:sz w:val="22"/>
          <w:u w:val="none"/>
        </w:rPr>
        <w:t> </w:t>
      </w:r>
      <w:r>
        <w:rPr>
          <w:i/>
          <w:sz w:val="22"/>
          <w:u w:val="none"/>
        </w:rPr>
        <w:t>Land</w:t>
      </w:r>
      <w:r>
        <w:rPr>
          <w:i/>
          <w:spacing w:val="-7"/>
          <w:sz w:val="22"/>
          <w:u w:val="none"/>
        </w:rPr>
        <w:t> </w:t>
      </w:r>
      <w:r>
        <w:rPr>
          <w:i/>
          <w:sz w:val="22"/>
          <w:u w:val="none"/>
        </w:rPr>
        <w:t>in</w:t>
      </w:r>
      <w:r>
        <w:rPr>
          <w:i/>
          <w:spacing w:val="-6"/>
          <w:sz w:val="22"/>
          <w:u w:val="none"/>
        </w:rPr>
        <w:t> </w:t>
      </w:r>
      <w:r>
        <w:rPr>
          <w:i/>
          <w:sz w:val="22"/>
          <w:u w:val="none"/>
        </w:rPr>
        <w:t>Schedule</w:t>
      </w:r>
      <w:r>
        <w:rPr>
          <w:i/>
          <w:spacing w:val="-4"/>
          <w:sz w:val="22"/>
          <w:u w:val="none"/>
        </w:rPr>
        <w:t> </w:t>
      </w:r>
      <w:r>
        <w:rPr>
          <w:i/>
          <w:sz w:val="22"/>
          <w:u w:val="none"/>
        </w:rPr>
        <w:t>A</w:t>
      </w:r>
      <w:r>
        <w:rPr>
          <w:i/>
          <w:spacing w:val="-8"/>
          <w:sz w:val="22"/>
          <w:u w:val="none"/>
        </w:rPr>
        <w:t> </w:t>
      </w:r>
      <w:r>
        <w:rPr>
          <w:i/>
          <w:sz w:val="22"/>
          <w:u w:val="none"/>
        </w:rPr>
        <w:t>or</w:t>
      </w:r>
      <w:r>
        <w:rPr>
          <w:i/>
          <w:spacing w:val="-6"/>
          <w:sz w:val="22"/>
          <w:u w:val="none"/>
        </w:rPr>
        <w:t> </w:t>
      </w:r>
      <w:r>
        <w:rPr>
          <w:i/>
          <w:sz w:val="22"/>
          <w:u w:val="none"/>
        </w:rPr>
        <w:t>excepted</w:t>
      </w:r>
      <w:r>
        <w:rPr>
          <w:i/>
          <w:spacing w:val="-4"/>
          <w:sz w:val="22"/>
          <w:u w:val="none"/>
        </w:rPr>
        <w:t> </w:t>
      </w:r>
      <w:r>
        <w:rPr>
          <w:i/>
          <w:sz w:val="22"/>
          <w:u w:val="none"/>
        </w:rPr>
        <w:t>in</w:t>
      </w:r>
      <w:r>
        <w:rPr>
          <w:i/>
          <w:spacing w:val="-5"/>
          <w:sz w:val="22"/>
          <w:u w:val="none"/>
        </w:rPr>
        <w:t> </w:t>
      </w:r>
      <w:r>
        <w:rPr>
          <w:i/>
          <w:sz w:val="22"/>
          <w:u w:val="none"/>
        </w:rPr>
        <w:t>Schedule</w:t>
      </w:r>
      <w:r>
        <w:rPr>
          <w:i/>
          <w:spacing w:val="-5"/>
          <w:sz w:val="22"/>
          <w:u w:val="none"/>
        </w:rPr>
        <w:t> </w:t>
      </w:r>
      <w:r>
        <w:rPr>
          <w:i/>
          <w:sz w:val="22"/>
          <w:u w:val="none"/>
        </w:rPr>
        <w:t>B</w:t>
      </w:r>
      <w:r>
        <w:rPr>
          <w:i/>
          <w:spacing w:val="-8"/>
          <w:sz w:val="22"/>
          <w:u w:val="none"/>
        </w:rPr>
        <w:t> </w:t>
      </w:r>
      <w:r>
        <w:rPr>
          <w:i/>
          <w:sz w:val="22"/>
          <w:u w:val="none"/>
        </w:rPr>
        <w:t>that</w:t>
      </w:r>
      <w:r>
        <w:rPr>
          <w:i/>
          <w:spacing w:val="-6"/>
          <w:sz w:val="22"/>
          <w:u w:val="none"/>
        </w:rPr>
        <w:t> </w:t>
      </w:r>
      <w:r>
        <w:rPr>
          <w:i/>
          <w:sz w:val="22"/>
          <w:u w:val="none"/>
        </w:rPr>
        <w:t>you</w:t>
      </w:r>
      <w:r>
        <w:rPr>
          <w:i/>
          <w:spacing w:val="-7"/>
          <w:sz w:val="22"/>
          <w:u w:val="none"/>
        </w:rPr>
        <w:t> </w:t>
      </w:r>
      <w:r>
        <w:rPr>
          <w:i/>
          <w:sz w:val="22"/>
          <w:u w:val="none"/>
        </w:rPr>
        <w:t>intend</w:t>
      </w:r>
      <w:r>
        <w:rPr>
          <w:i/>
          <w:spacing w:val="-5"/>
          <w:sz w:val="22"/>
          <w:u w:val="none"/>
        </w:rPr>
        <w:t> </w:t>
      </w:r>
      <w:r>
        <w:rPr>
          <w:i/>
          <w:sz w:val="22"/>
          <w:u w:val="none"/>
        </w:rPr>
        <w:t>to</w:t>
      </w:r>
      <w:r>
        <w:rPr>
          <w:i/>
          <w:spacing w:val="-7"/>
          <w:sz w:val="22"/>
          <w:u w:val="none"/>
        </w:rPr>
        <w:t> </w:t>
      </w:r>
      <w:r>
        <w:rPr>
          <w:i/>
          <w:sz w:val="22"/>
          <w:u w:val="none"/>
        </w:rPr>
        <w:t>exclude</w:t>
      </w:r>
      <w:r>
        <w:rPr>
          <w:i/>
          <w:spacing w:val="-7"/>
          <w:sz w:val="22"/>
          <w:u w:val="none"/>
        </w:rPr>
        <w:t> </w:t>
      </w:r>
      <w:r>
        <w:rPr>
          <w:i/>
          <w:sz w:val="22"/>
          <w:u w:val="none"/>
        </w:rPr>
        <w:t>from</w:t>
      </w:r>
      <w:r>
        <w:rPr>
          <w:i/>
          <w:spacing w:val="-5"/>
          <w:sz w:val="22"/>
          <w:u w:val="none"/>
        </w:rPr>
        <w:t> </w:t>
      </w:r>
      <w:r>
        <w:rPr>
          <w:i/>
          <w:sz w:val="22"/>
          <w:u w:val="none"/>
        </w:rPr>
        <w:t>this</w:t>
      </w:r>
      <w:r>
        <w:rPr>
          <w:i/>
          <w:spacing w:val="-7"/>
          <w:sz w:val="22"/>
          <w:u w:val="none"/>
        </w:rPr>
        <w:t> </w:t>
      </w:r>
      <w:r>
        <w:rPr>
          <w:i/>
          <w:spacing w:val="-2"/>
          <w:sz w:val="22"/>
          <w:u w:val="none"/>
        </w:rPr>
        <w:t>coverage.</w:t>
      </w:r>
      <w:r>
        <w:rPr>
          <w:b/>
          <w:i/>
          <w:spacing w:val="-2"/>
          <w:sz w:val="22"/>
          <w:u w:val="none"/>
        </w:rPr>
        <w:t>]</w:t>
      </w:r>
    </w:p>
    <w:p>
      <w:pPr>
        <w:pStyle w:val="ListParagraph"/>
        <w:spacing w:after="0" w:line="244" w:lineRule="auto"/>
        <w:jc w:val="both"/>
        <w:rPr>
          <w:b/>
          <w:i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432" w:footer="719" w:top="1740" w:bottom="900" w:left="720" w:right="360"/>
          <w:pgNumType w:start="1"/>
        </w:sectPr>
      </w:pPr>
    </w:p>
    <w:p>
      <w:pPr>
        <w:pStyle w:val="BodyText"/>
        <w:spacing w:before="81"/>
        <w:ind w:right="355"/>
        <w:jc w:val="both"/>
      </w:pPr>
      <w:r>
        <w:rPr/>
        <w:t>This endorsement is issued as part of the policy. Except as it expressly states, it does not (i) modify any of the terms and provisions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policy,</w:t>
      </w:r>
      <w:r>
        <w:rPr>
          <w:spacing w:val="-1"/>
        </w:rPr>
        <w:t> </w:t>
      </w:r>
      <w:r>
        <w:rPr/>
        <w:t>(ii) modify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endorsements,</w:t>
      </w:r>
      <w:r>
        <w:rPr>
          <w:spacing w:val="-1"/>
        </w:rPr>
        <w:t> </w:t>
      </w:r>
      <w:r>
        <w:rPr/>
        <w:t>(iii)</w:t>
      </w:r>
      <w:r>
        <w:rPr>
          <w:spacing w:val="-1"/>
        </w:rPr>
        <w:t> </w:t>
      </w:r>
      <w:r>
        <w:rPr/>
        <w:t>extend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Policy,</w:t>
      </w:r>
      <w:r>
        <w:rPr>
          <w:spacing w:val="-1"/>
        </w:rPr>
        <w:t> </w:t>
      </w:r>
      <w:r>
        <w:rPr/>
        <w:t>or (iv)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 of Insurance. To the extent a provision of the policy or a previous endorsement is inconsistent with an express provision of this</w:t>
      </w:r>
      <w:r>
        <w:rPr>
          <w:spacing w:val="-6"/>
        </w:rPr>
        <w:t> </w:t>
      </w:r>
      <w:r>
        <w:rPr/>
        <w:t>endorsement,</w:t>
      </w:r>
      <w:r>
        <w:rPr>
          <w:spacing w:val="-10"/>
        </w:rPr>
        <w:t> </w:t>
      </w:r>
      <w:r>
        <w:rPr/>
        <w:t>this</w:t>
      </w:r>
      <w:r>
        <w:rPr>
          <w:spacing w:val="-6"/>
        </w:rPr>
        <w:t> </w:t>
      </w:r>
      <w:r>
        <w:rPr/>
        <w:t>endorsement</w:t>
      </w:r>
      <w:r>
        <w:rPr>
          <w:spacing w:val="-6"/>
        </w:rPr>
        <w:t> </w:t>
      </w:r>
      <w:r>
        <w:rPr/>
        <w:t>controls.</w:t>
      </w:r>
      <w:r>
        <w:rPr>
          <w:spacing w:val="-7"/>
        </w:rPr>
        <w:t> </w:t>
      </w:r>
      <w:r>
        <w:rPr/>
        <w:t>Otherwise,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endorsement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terms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provisions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 policy and of any prior endorsements.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580" w:right="939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1840946</wp:posOffset>
            </wp:positionH>
            <wp:positionV relativeFrom="paragraph">
              <wp:posOffset>169496</wp:posOffset>
            </wp:positionV>
            <wp:extent cx="622782" cy="582168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82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3142995</wp:posOffset>
            </wp:positionH>
            <wp:positionV relativeFrom="paragraph">
              <wp:posOffset>322775</wp:posOffset>
            </wp:positionV>
            <wp:extent cx="1459411" cy="538733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11" cy="53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CATIC</w:t>
      </w:r>
    </w:p>
    <w:p>
      <w:pPr>
        <w:spacing w:before="53"/>
        <w:ind w:left="580" w:right="942" w:firstLine="0"/>
        <w:jc w:val="center"/>
        <w:rPr>
          <w:sz w:val="20"/>
        </w:rPr>
      </w:pPr>
      <w:r>
        <w:rPr>
          <w:sz w:val="20"/>
        </w:rPr>
        <w:t>JAMES</w:t>
      </w:r>
      <w:r>
        <w:rPr>
          <w:spacing w:val="-7"/>
          <w:sz w:val="20"/>
        </w:rPr>
        <w:t> </w:t>
      </w:r>
      <w:r>
        <w:rPr>
          <w:sz w:val="20"/>
        </w:rPr>
        <w:t>M.</w:t>
      </w:r>
      <w:r>
        <w:rPr>
          <w:spacing w:val="-6"/>
          <w:sz w:val="20"/>
        </w:rPr>
        <w:t> </w:t>
      </w:r>
      <w:r>
        <w:rPr>
          <w:sz w:val="20"/>
        </w:rPr>
        <w:t>CZAPIGA,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PRESIDENT</w:t>
      </w:r>
    </w:p>
    <w:sectPr>
      <w:pgSz w:w="12240" w:h="15840"/>
      <w:pgMar w:header="432" w:footer="719" w:top="1740" w:bottom="90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438912</wp:posOffset>
              </wp:positionH>
              <wp:positionV relativeFrom="page">
                <wp:posOffset>9424111</wp:posOffset>
              </wp:positionV>
              <wp:extent cx="689610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8961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9525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895846" y="9143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60001pt;margin-top:742.05603pt;width:542.98pt;height:.71997pt;mso-position-horizontal-relative:page;mso-position-vertical-relative:page;z-index:-15766016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444500</wp:posOffset>
              </wp:positionH>
              <wp:positionV relativeFrom="page">
                <wp:posOffset>9542925</wp:posOffset>
              </wp:positionV>
              <wp:extent cx="3641090" cy="255904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4109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ALTA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Endorsement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36.9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(1-2-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2025)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Energy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Project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Minerals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Other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Subsurface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Substances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Land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1.411438pt;width:286.7pt;height:20.150pt;mso-position-horizontal-relative:page;mso-position-vertical-relative:page;z-index:-1576550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ALTA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Endorsement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36.9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(1-2-</w:t>
                    </w:r>
                    <w:r>
                      <w:rPr>
                        <w:spacing w:val="-2"/>
                        <w:sz w:val="16"/>
                      </w:rPr>
                      <w:t>2025)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Energy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Project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Minerals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Other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Subsurface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Substances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Land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Development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6843521</wp:posOffset>
              </wp:positionH>
              <wp:positionV relativeFrom="page">
                <wp:posOffset>9660273</wp:posOffset>
              </wp:positionV>
              <wp:extent cx="486409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8640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859985pt;margin-top:760.651428pt;width:38.3pt;height:10.95pt;mso-position-horizontal-relative:page;mso-position-vertical-relative:page;z-index:-1576499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5675629</wp:posOffset>
          </wp:positionH>
          <wp:positionV relativeFrom="page">
            <wp:posOffset>274320</wp:posOffset>
          </wp:positionV>
          <wp:extent cx="1664970" cy="44957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4970" cy="44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457200</wp:posOffset>
              </wp:positionH>
              <wp:positionV relativeFrom="page">
                <wp:posOffset>1023874</wp:posOffset>
              </wp:positionV>
              <wp:extent cx="685800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7040" from="36pt,80.620003pt" to="576pt,80.620003pt" stroked="true" strokeweight="2.2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5021960</wp:posOffset>
              </wp:positionH>
              <wp:positionV relativeFrom="page">
                <wp:posOffset>722027</wp:posOffset>
              </wp:positionV>
              <wp:extent cx="230822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082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101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Corporate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Place,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Rocky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Hill,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 06067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5.429993pt;margin-top:56.852539pt;width:181.75pt;height:12.1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101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Corporate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Place,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Rocky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Hill,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CT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 06067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2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580" w:right="93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7"/>
      <w:ind w:left="720" w:right="354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dcterms:created xsi:type="dcterms:W3CDTF">2025-03-07T22:08:13Z</dcterms:created>
  <dcterms:modified xsi:type="dcterms:W3CDTF">2025-03-07T22:08:13Z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for Microsoft 365</vt:lpwstr>
  </property>
</Properties>
</file>